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4DAF6" w14:textId="7FD82BD2" w:rsidR="00BF39AE" w:rsidRPr="00D8388D" w:rsidRDefault="00BF39AE" w:rsidP="00BF39AE">
      <w:pPr>
        <w:widowControl/>
        <w:tabs>
          <w:tab w:val="left" w:pos="1800"/>
          <w:tab w:val="center" w:pos="4536"/>
          <w:tab w:val="right" w:pos="9070"/>
        </w:tabs>
        <w:ind w:left="1800" w:hanging="1800"/>
        <w:jc w:val="left"/>
        <w:rPr>
          <w:rFonts w:ascii="Arial" w:eastAsia="Tahoma" w:hAnsi="Arial" w:cs="Arial"/>
          <w:b/>
          <w:bCs/>
          <w:i/>
          <w:kern w:val="0"/>
          <w:sz w:val="22"/>
          <w:szCs w:val="22"/>
        </w:rPr>
      </w:pPr>
      <w:bookmarkStart w:id="0" w:name="_Hlk92532984"/>
      <w:bookmarkStart w:id="1" w:name="_Hlk92532988"/>
      <w:bookmarkStart w:id="2" w:name="_Hlk92532973"/>
      <w:bookmarkStart w:id="3" w:name="_Hlk92532926"/>
      <w:bookmarkStart w:id="4" w:name="_Hlk92533107"/>
      <w:bookmarkStart w:id="5" w:name="_GoBack"/>
      <w:bookmarkEnd w:id="5"/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>3GPP TSG-RAN WG2 Meeting #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>121bis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ab/>
      </w:r>
      <w:r w:rsidRPr="00D8388D">
        <w:rPr>
          <w:rFonts w:ascii="Arial" w:eastAsia="Tahoma" w:hAnsi="Arial" w:cs="Arial"/>
          <w:b/>
          <w:bCs/>
          <w:i/>
          <w:kern w:val="0"/>
          <w:sz w:val="22"/>
          <w:szCs w:val="22"/>
        </w:rPr>
        <w:tab/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>R2-</w:t>
      </w:r>
      <w:r w:rsidRPr="00BF39AE">
        <w:rPr>
          <w:rFonts w:ascii="Arial" w:eastAsia="Tahoma" w:hAnsi="Arial" w:cs="Arial"/>
          <w:b/>
          <w:bCs/>
          <w:kern w:val="0"/>
          <w:sz w:val="22"/>
          <w:szCs w:val="22"/>
        </w:rPr>
        <w:t>2303825</w:t>
      </w:r>
    </w:p>
    <w:p w14:paraId="2CD0EF47" w14:textId="77777777" w:rsidR="00BF39AE" w:rsidRPr="00D8388D" w:rsidRDefault="00BF39AE" w:rsidP="00BF39AE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2"/>
          <w:szCs w:val="22"/>
        </w:rPr>
      </w:pP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E-Meeting, 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>17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 Apr. 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– 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>26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  <w:vertAlign w:val="superscript"/>
        </w:rPr>
        <w:t>th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>Apr.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kern w:val="0"/>
          <w:sz w:val="22"/>
          <w:szCs w:val="22"/>
        </w:rPr>
        <w:t>2023</w:t>
      </w:r>
    </w:p>
    <w:p w14:paraId="78B68DCC" w14:textId="77777777" w:rsidR="00541641" w:rsidRPr="00D8388D" w:rsidRDefault="00541641" w:rsidP="00541641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6" w:name="_Hlk92532994"/>
      <w:bookmarkEnd w:id="0"/>
      <w:bookmarkEnd w:id="1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D8388D"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  <w:t>vivo</w:t>
      </w:r>
    </w:p>
    <w:bookmarkEnd w:id="6"/>
    <w:p w14:paraId="0E6AB523" w14:textId="17817E79" w:rsidR="00541641" w:rsidRDefault="00541641" w:rsidP="00541641">
      <w:pPr>
        <w:widowControl/>
        <w:tabs>
          <w:tab w:val="left" w:pos="1800"/>
          <w:tab w:val="center" w:pos="4536"/>
          <w:tab w:val="right" w:pos="9072"/>
        </w:tabs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BF39AE" w:rsidRPr="00BF39AE">
        <w:rPr>
          <w:rFonts w:ascii="Arial" w:eastAsia="宋体" w:hAnsi="Arial" w:cs="Times New Roman"/>
          <w:b/>
          <w:kern w:val="0"/>
          <w:sz w:val="22"/>
          <w:szCs w:val="22"/>
        </w:rPr>
        <w:t>discussion on UE capability and RRC configuration for UL tx switching</w:t>
      </w:r>
    </w:p>
    <w:p w14:paraId="5DDDB535" w14:textId="4889EB49" w:rsidR="00E80EC1" w:rsidRPr="00E80EC1" w:rsidRDefault="00E80EC1" w:rsidP="00E80EC1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>
        <w:rPr>
          <w:rFonts w:ascii="Arial" w:eastAsia="宋体" w:hAnsi="Arial" w:cs="Times New Roman"/>
          <w:b/>
          <w:kern w:val="0"/>
          <w:sz w:val="22"/>
          <w:szCs w:val="22"/>
        </w:rPr>
        <w:t>7.25.2</w:t>
      </w:r>
    </w:p>
    <w:bookmarkEnd w:id="2"/>
    <w:p w14:paraId="2EB3B417" w14:textId="77777777" w:rsidR="00541641" w:rsidRPr="00541641" w:rsidRDefault="00541641" w:rsidP="00541641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  <w:szCs w:val="24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3"/>
    <w:bookmarkEnd w:id="4"/>
    <w:p w14:paraId="2A15DB04" w14:textId="63CEA20D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7" w:name="_Hlk92533719"/>
      <w:r w:rsidRPr="00541641">
        <w:t>Introduction</w:t>
      </w:r>
      <w:bookmarkEnd w:id="7"/>
    </w:p>
    <w:p w14:paraId="1EB27F60" w14:textId="2694ED5B" w:rsidR="00541641" w:rsidRDefault="00541641" w:rsidP="00541641">
      <w:pPr>
        <w:spacing w:afterLines="50" w:after="156"/>
        <w:rPr>
          <w:rFonts w:eastAsia="宋体"/>
        </w:rPr>
      </w:pPr>
      <w:bookmarkStart w:id="8" w:name="_Hlk85390381"/>
      <w:bookmarkStart w:id="9" w:name="_Hlk92533704"/>
      <w:r>
        <w:rPr>
          <w:rFonts w:eastAsia="宋体" w:hint="eastAsia"/>
        </w:rPr>
        <w:t>A</w:t>
      </w:r>
      <w:r>
        <w:rPr>
          <w:rFonts w:eastAsia="宋体"/>
        </w:rPr>
        <w:t xml:space="preserve">ccording to </w:t>
      </w:r>
      <w:r w:rsidR="00B560C9">
        <w:rPr>
          <w:rFonts w:eastAsia="宋体"/>
        </w:rPr>
        <w:t>R2#121</w:t>
      </w:r>
      <w:r w:rsidR="00A93A63">
        <w:rPr>
          <w:rFonts w:eastAsia="宋体"/>
        </w:rPr>
        <w:t xml:space="preserve"> </w:t>
      </w:r>
      <w:r>
        <w:rPr>
          <w:rFonts w:eastAsia="宋体"/>
        </w:rPr>
        <w:t>meeting, the following agreements were made[1]: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641" w14:paraId="556821DD" w14:textId="77777777" w:rsidTr="004F773B">
        <w:tc>
          <w:tcPr>
            <w:tcW w:w="9060" w:type="dxa"/>
          </w:tcPr>
          <w:bookmarkEnd w:id="8"/>
          <w:p w14:paraId="3DC139EA" w14:textId="77777777" w:rsidR="00B560C9" w:rsidRPr="00B77740" w:rsidRDefault="00B560C9" w:rsidP="00B560C9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714"/>
              <w:textAlignment w:val="auto"/>
            </w:pPr>
            <w:r w:rsidRPr="00B77740">
              <w:t xml:space="preserve">For UE capability of switching options, introduce a per-band-pair UE capability to report supported switching options for Rel-18 UL Tx switching. </w:t>
            </w:r>
          </w:p>
          <w:p w14:paraId="38D78F83" w14:textId="77777777" w:rsidR="00B560C9" w:rsidRPr="00B77740" w:rsidRDefault="00B560C9" w:rsidP="00B560C9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714"/>
              <w:textAlignment w:val="auto"/>
              <w:rPr>
                <w:rFonts w:ascii="Yu Gothic" w:hAnsi="Yu Gothic" w:cs="MS PGothic"/>
              </w:rPr>
            </w:pPr>
            <w:r w:rsidRPr="00B77740">
              <w:t>configure {switchedUL, dualUL} for combination(s) of serving cells (i.e., for each band pair in the band combination)</w:t>
            </w:r>
          </w:p>
          <w:p w14:paraId="40A975B2" w14:textId="77777777" w:rsidR="00B560C9" w:rsidRPr="00B77740" w:rsidRDefault="00B560C9" w:rsidP="00B560C9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714"/>
              <w:textAlignment w:val="auto"/>
            </w:pPr>
            <w:r w:rsidRPr="00B77740">
              <w:t>For RRC configuration to clarify ambiguous Tx state, RAN2 should introduce an RRC configuration that associates a band to another band which the unused Tx chain is switched to when the switch is from concurrent transmission on two bands to 1 Tx transmission on another band.</w:t>
            </w:r>
          </w:p>
          <w:p w14:paraId="6E087472" w14:textId="36DD93D8" w:rsidR="00A93A63" w:rsidRPr="00B560C9" w:rsidRDefault="00B560C9" w:rsidP="00C3692E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spacing w:after="120"/>
              <w:ind w:left="714"/>
              <w:textAlignment w:val="auto"/>
            </w:pPr>
            <w:r w:rsidRPr="00B77740">
              <w:t>For UE capability of 2-port UL transmission, RAN2 reuse the per-FS UL-MIMO UE capability (no spec change).</w:t>
            </w:r>
          </w:p>
        </w:tc>
      </w:tr>
    </w:tbl>
    <w:p w14:paraId="1FA6579C" w14:textId="2B3E62BE" w:rsidR="00541641" w:rsidRPr="002A72C4" w:rsidRDefault="002A72C4" w:rsidP="00B7789A">
      <w:pPr>
        <w:spacing w:before="120"/>
        <w:rPr>
          <w:rFonts w:eastAsia="宋体"/>
        </w:rPr>
      </w:pPr>
      <w:r>
        <w:rPr>
          <w:rFonts w:eastAsia="宋体"/>
        </w:rPr>
        <w:t xml:space="preserve">During post-meeting email discussion[2], several issues are discussed. According to Rapporteur’s summary, there are some leftover issues about UE capability reporting and RRC configuration to be processed in RAN2. </w:t>
      </w:r>
      <w:r w:rsidR="00541641"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 w:rsidR="00541641">
        <w:rPr>
          <w:rFonts w:eastAsia="宋体"/>
        </w:rPr>
        <w:t xml:space="preserve"> we will </w:t>
      </w:r>
      <w:r>
        <w:rPr>
          <w:rFonts w:eastAsia="宋体"/>
        </w:rPr>
        <w:t>share our view about the</w:t>
      </w:r>
      <w:r>
        <w:rPr>
          <w:rFonts w:eastAsia="宋体" w:hint="eastAsia"/>
        </w:rPr>
        <w:t>se</w:t>
      </w:r>
      <w:r>
        <w:rPr>
          <w:rFonts w:eastAsia="宋体"/>
        </w:rPr>
        <w:t xml:space="preserve"> issues</w:t>
      </w:r>
      <w:r w:rsidR="00541641">
        <w:t>.</w:t>
      </w:r>
      <w:bookmarkEnd w:id="9"/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4CF1C3F5" w:rsidR="00541641" w:rsidRDefault="0076503B" w:rsidP="00541641">
      <w:pPr>
        <w:pStyle w:val="1"/>
      </w:pPr>
      <w:r>
        <w:t>Discussion</w:t>
      </w:r>
    </w:p>
    <w:p w14:paraId="2AD066D0" w14:textId="0DA9621B" w:rsidR="00B7789A" w:rsidRDefault="00B7789A" w:rsidP="00541641">
      <w:pPr>
        <w:pStyle w:val="2"/>
      </w:pPr>
      <w:r>
        <w:t>UE capability</w:t>
      </w:r>
    </w:p>
    <w:p w14:paraId="43F0F814" w14:textId="7F4D3AE3" w:rsidR="00541641" w:rsidRDefault="00455EF7" w:rsidP="00B7789A">
      <w:pPr>
        <w:pStyle w:val="3"/>
      </w:pPr>
      <w:r>
        <w:t>F</w:t>
      </w:r>
      <w:r w:rsidR="00B7789A">
        <w:t>eature</w:t>
      </w:r>
      <w:r>
        <w:t>S</w:t>
      </w:r>
      <w:r w:rsidR="00B7789A">
        <w:t>et reporting</w:t>
      </w:r>
    </w:p>
    <w:p w14:paraId="0A552F5D" w14:textId="45B768D5" w:rsidR="001C576E" w:rsidRDefault="001C576E" w:rsidP="001C576E">
      <w:pPr>
        <w:spacing w:after="120"/>
      </w:pPr>
      <w:r>
        <w:t>This section treats the following proposal in [2]</w:t>
      </w:r>
      <w:r w:rsidR="0076503B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6503B" w14:paraId="31BB168C" w14:textId="77777777" w:rsidTr="0076503B">
        <w:tc>
          <w:tcPr>
            <w:tcW w:w="9060" w:type="dxa"/>
          </w:tcPr>
          <w:p w14:paraId="715CC343" w14:textId="77777777" w:rsidR="0076503B" w:rsidRPr="00E82CB2" w:rsidRDefault="0076503B" w:rsidP="0076503B">
            <w:pPr>
              <w:pStyle w:val="ProposalandObservation"/>
              <w:snapToGrid w:val="0"/>
            </w:pPr>
            <w:r w:rsidRPr="003060D0">
              <w:rPr>
                <w:rFonts w:hint="eastAsia"/>
              </w:rPr>
              <w:t>P</w:t>
            </w:r>
            <w:r w:rsidRPr="003060D0">
              <w:t xml:space="preserve">roposal </w:t>
            </w:r>
            <w:r>
              <w:t>1</w:t>
            </w:r>
            <w:r w:rsidRPr="003060D0">
              <w:t>.</w:t>
            </w:r>
            <w:r>
              <w:tab/>
              <w:t>RAN2 wait for RAN4 conclusion on f</w:t>
            </w:r>
            <w:r w:rsidRPr="00701851">
              <w:t>allback of Rel-18 Tx switching to Rel-16/17 Tx switching</w:t>
            </w:r>
            <w:r>
              <w:t>. In parallel, RAN2 continue following discussion:</w:t>
            </w:r>
          </w:p>
          <w:p w14:paraId="0EBBC958" w14:textId="77777777" w:rsidR="0076503B" w:rsidRPr="00224736" w:rsidRDefault="0076503B" w:rsidP="0076503B">
            <w:pPr>
              <w:pStyle w:val="aa"/>
              <w:widowControl/>
              <w:numPr>
                <w:ilvl w:val="0"/>
                <w:numId w:val="20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eastAsia="BIZ UDGothic" w:hAnsi="Arial" w:cs="Arial"/>
                <w:b/>
                <w:bCs/>
                <w:lang w:eastAsia="ja-JP"/>
              </w:rPr>
              <w:t xml:space="preserve">If it is possible that </w:t>
            </w:r>
            <w:r w:rsidRPr="00511DA6">
              <w:rPr>
                <w:rFonts w:ascii="Arial" w:eastAsia="BIZ UDGothic" w:hAnsi="Arial" w:cs="Arial"/>
                <w:b/>
                <w:bCs/>
                <w:lang w:eastAsia="ja-JP"/>
              </w:rPr>
              <w:t>UE supports both Rel-18 and Rel-16/17 UL Tx switching for the same band combinatio</w:t>
            </w:r>
            <w:r>
              <w:rPr>
                <w:rFonts w:ascii="Arial" w:eastAsia="BIZ UDGothic" w:hAnsi="Arial" w:cs="Arial"/>
                <w:b/>
                <w:bCs/>
                <w:lang w:eastAsia="ja-JP"/>
              </w:rPr>
              <w:t>n,</w:t>
            </w:r>
          </w:p>
          <w:p w14:paraId="5527ECF0" w14:textId="77777777" w:rsidR="0076503B" w:rsidRDefault="0076503B" w:rsidP="0076503B">
            <w:pPr>
              <w:pStyle w:val="aa"/>
              <w:widowControl/>
              <w:numPr>
                <w:ilvl w:val="1"/>
                <w:numId w:val="20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  <w:lang w:eastAsia="ja-JP"/>
              </w:rPr>
            </w:pPr>
            <w:r w:rsidRPr="004E3B59">
              <w:rPr>
                <w:rFonts w:ascii="Arial" w:hAnsi="Arial" w:cs="Arial"/>
                <w:b/>
                <w:bCs/>
              </w:rPr>
              <w:t>Approach 1: the 3/4 FeatureSetUplink are reported in one row in FSC for the 3/4 UL bands involved in Rel-18 UL Tx switching;</w:t>
            </w:r>
          </w:p>
          <w:p w14:paraId="77B9A753" w14:textId="77777777" w:rsidR="0076503B" w:rsidRDefault="0076503B" w:rsidP="0076503B">
            <w:pPr>
              <w:pStyle w:val="aa"/>
              <w:widowControl/>
              <w:numPr>
                <w:ilvl w:val="2"/>
                <w:numId w:val="20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eastAsia="ja-JP"/>
              </w:rPr>
              <w:t>N</w:t>
            </w:r>
            <w:r>
              <w:rPr>
                <w:rFonts w:ascii="Arial" w:hAnsi="Arial" w:cs="Arial"/>
                <w:b/>
                <w:bCs/>
                <w:lang w:eastAsia="ja-JP"/>
              </w:rPr>
              <w:t xml:space="preserve">ote: If Approach 1 is down-selected, </w:t>
            </w:r>
            <w:r>
              <w:rPr>
                <w:rFonts w:ascii="Arial" w:hAnsi="Arial" w:cs="Arial"/>
                <w:b/>
                <w:bCs/>
              </w:rPr>
              <w:t>t</w:t>
            </w:r>
            <w:r w:rsidRPr="008B0462">
              <w:rPr>
                <w:rFonts w:ascii="Arial" w:hAnsi="Arial" w:cs="Arial"/>
                <w:b/>
                <w:bCs/>
              </w:rPr>
              <w:t xml:space="preserve">he UE needs to guarantee the FeatureSetUplinks reported for Rel-18 UL Tx switching are applicable to </w:t>
            </w:r>
            <w:r w:rsidRPr="008B0462">
              <w:rPr>
                <w:rFonts w:ascii="Arial" w:hAnsi="Arial" w:cs="Arial"/>
                <w:b/>
                <w:bCs/>
              </w:rPr>
              <w:lastRenderedPageBreak/>
              <w:t>Rel-16/Rel-17 Tx switching if the Rel-16/Rel-17 switching period is reported for that band pair and the same switching option of the band pair is supported for Rel-16/Rel-17 switching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  <w:p w14:paraId="285509D3" w14:textId="77777777" w:rsidR="0076503B" w:rsidRDefault="0076503B" w:rsidP="0076503B">
            <w:pPr>
              <w:pStyle w:val="aa"/>
              <w:widowControl/>
              <w:numPr>
                <w:ilvl w:val="2"/>
                <w:numId w:val="20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eastAsia="ja-JP"/>
              </w:rPr>
              <w:t>N</w:t>
            </w:r>
            <w:r>
              <w:rPr>
                <w:rFonts w:ascii="Arial" w:hAnsi="Arial" w:cs="Arial"/>
                <w:b/>
                <w:bCs/>
                <w:lang w:eastAsia="ja-JP"/>
              </w:rPr>
              <w:t>ote: If Approach 1 is down-selected, discuss if UEs are allowed to report feature set</w:t>
            </w:r>
            <w:r w:rsidRPr="00D123CE">
              <w:rPr>
                <w:rFonts w:ascii="Arial" w:hAnsi="Arial" w:cs="Arial"/>
                <w:b/>
                <w:bCs/>
                <w:lang w:eastAsia="ja-JP"/>
              </w:rPr>
              <w:t xml:space="preserve">s for Rel-16/17 UL Tx switching apart from </w:t>
            </w:r>
            <w:r>
              <w:rPr>
                <w:rFonts w:ascii="Arial" w:hAnsi="Arial" w:cs="Arial"/>
                <w:b/>
                <w:bCs/>
                <w:lang w:eastAsia="ja-JP"/>
              </w:rPr>
              <w:t xml:space="preserve">that for </w:t>
            </w:r>
            <w:r w:rsidRPr="00D123CE">
              <w:rPr>
                <w:rFonts w:ascii="Arial" w:hAnsi="Arial" w:cs="Arial"/>
                <w:b/>
                <w:bCs/>
                <w:lang w:eastAsia="ja-JP"/>
              </w:rPr>
              <w:t>Rel-18</w:t>
            </w:r>
            <w:r>
              <w:rPr>
                <w:rFonts w:ascii="Arial" w:hAnsi="Arial" w:cs="Arial"/>
                <w:b/>
                <w:bCs/>
                <w:lang w:eastAsia="ja-JP"/>
              </w:rPr>
              <w:t xml:space="preserve"> UL Tx switching.</w:t>
            </w:r>
          </w:p>
          <w:p w14:paraId="56590FAC" w14:textId="0B9D3106" w:rsidR="0076503B" w:rsidRPr="0076503B" w:rsidRDefault="0076503B" w:rsidP="0076503B">
            <w:pPr>
              <w:pStyle w:val="aa"/>
              <w:widowControl/>
              <w:numPr>
                <w:ilvl w:val="1"/>
                <w:numId w:val="20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  <w:lang w:eastAsia="ja-JP"/>
              </w:rPr>
            </w:pPr>
            <w:r w:rsidRPr="004E3B59">
              <w:rPr>
                <w:rFonts w:ascii="Arial" w:hAnsi="Arial" w:cs="Arial"/>
                <w:b/>
                <w:bCs/>
              </w:rPr>
              <w:t>Approach 2: the FeatureSets reported for Rel-16/17 Tx switching between 2 bands can be combined to indicate UL capabilities on the 3/4 UL bands for Rel-18 UL Tx switching;</w:t>
            </w:r>
          </w:p>
        </w:tc>
      </w:tr>
    </w:tbl>
    <w:p w14:paraId="7BEABE23" w14:textId="230A6F2A" w:rsidR="006776E6" w:rsidRDefault="006776E6" w:rsidP="0076503B">
      <w:pPr>
        <w:spacing w:before="120" w:after="120"/>
      </w:pPr>
      <w:r>
        <w:lastRenderedPageBreak/>
        <w:t>Currently, RAN4 is still discussing whether and how to support</w:t>
      </w:r>
      <w:r w:rsidRPr="006776E6">
        <w:t xml:space="preserve"> </w:t>
      </w:r>
      <w:r>
        <w:t>f</w:t>
      </w:r>
      <w:r w:rsidRPr="00701851">
        <w:t>allback of Rel-18 Tx switching to Rel-16/17 Tx switching</w:t>
      </w:r>
      <w:r>
        <w:t xml:space="preserve">. </w:t>
      </w:r>
      <w:r w:rsidR="00FC2B46">
        <w:t xml:space="preserve">From our perspective, approach 1 is a top-down approach, by using FS reporting for Rel-18 Tx switching to </w:t>
      </w:r>
      <w:r w:rsidR="0018642F">
        <w:t>guarantee</w:t>
      </w:r>
      <w:r w:rsidR="00FC2B46">
        <w:t xml:space="preserve"> the indication of fallback capability, while approach 2 is bottom-up approach, by using combination of FS reporting for Rel-16/17 Tx switching to indicate the support of </w:t>
      </w:r>
      <w:r w:rsidR="00FC2B46">
        <w:rPr>
          <w:rFonts w:hint="eastAsia"/>
        </w:rPr>
        <w:t>Re</w:t>
      </w:r>
      <w:r w:rsidR="00FC2B46">
        <w:t>l-18 Tx switching.</w:t>
      </w:r>
      <w:r w:rsidR="007A08C3" w:rsidRPr="007A08C3">
        <w:t xml:space="preserve"> </w:t>
      </w:r>
    </w:p>
    <w:p w14:paraId="63707BEC" w14:textId="625764B0" w:rsidR="007A08C3" w:rsidRDefault="007A08C3" w:rsidP="001C576E">
      <w:pPr>
        <w:spacing w:after="120"/>
      </w:pPr>
      <w:r>
        <w:t xml:space="preserve">Usually, we may adopt approach 2 only if the combination of legacy UE capability features are identical to that of the new feature. As we observe complex difference between </w:t>
      </w:r>
      <w:r>
        <w:rPr>
          <w:rFonts w:hint="eastAsia"/>
        </w:rPr>
        <w:t>Rel</w:t>
      </w:r>
      <w:r>
        <w:t xml:space="preserve">-18 Tx switching and Rel-16/17 Tx switching, e.g. reporting/configuration of switching period, switching option, </w:t>
      </w:r>
      <w:r w:rsidR="00430DD2">
        <w:t xml:space="preserve">etc, we are not fully convinced that approach 2 can be </w:t>
      </w:r>
      <w:r w:rsidR="0018642F">
        <w:t>guaranteed</w:t>
      </w:r>
      <w:r w:rsidR="00430DD2">
        <w:t xml:space="preserve"> to avoid potential violation to the RAN1/4 agreements made so far. </w:t>
      </w:r>
      <w:r w:rsidR="00430DD2">
        <w:rPr>
          <w:rFonts w:hint="eastAsia"/>
        </w:rPr>
        <w:t>T</w:t>
      </w:r>
      <w:r w:rsidR="00430DD2">
        <w:t xml:space="preserve">herefore, we prefer to pursue a conventional way to address the FSC reporting issue, i.e. to adopt approach 1 with notes stating some UE requirement upon FS reporting. Besides, we still need to wait for RAN4 </w:t>
      </w:r>
      <w:r w:rsidR="001C576E">
        <w:t>discussion</w:t>
      </w:r>
      <w:r w:rsidR="00430DD2">
        <w:t xml:space="preserve"> to see if there is a</w:t>
      </w:r>
      <w:r w:rsidR="001C576E">
        <w:t xml:space="preserve"> need to add further details to the current approach 1.</w:t>
      </w:r>
    </w:p>
    <w:p w14:paraId="0A014C98" w14:textId="0BED427F" w:rsidR="001C576E" w:rsidRDefault="001C576E" w:rsidP="001C576E">
      <w:pPr>
        <w:spacing w:after="120"/>
      </w:pPr>
      <w:r>
        <w:t>In sum, we suggest not to down-select the approaches before RAN4 make any conclusion.</w:t>
      </w:r>
    </w:p>
    <w:p w14:paraId="37E7C674" w14:textId="2BB945FA" w:rsidR="00FC2B46" w:rsidRDefault="001C576E" w:rsidP="00A2414B">
      <w:pPr>
        <w:pStyle w:val="aa"/>
        <w:numPr>
          <w:ilvl w:val="0"/>
          <w:numId w:val="21"/>
        </w:numPr>
        <w:spacing w:after="120"/>
        <w:ind w:left="1701" w:firstLineChars="0" w:hanging="1701"/>
        <w:rPr>
          <w:rFonts w:ascii="Times New Roman" w:hAnsi="Times New Roman"/>
          <w:b/>
          <w:sz w:val="20"/>
          <w:szCs w:val="20"/>
        </w:rPr>
      </w:pPr>
      <w:r w:rsidRPr="001C576E">
        <w:rPr>
          <w:rFonts w:ascii="Times New Roman" w:hAnsi="Times New Roman"/>
          <w:b/>
          <w:sz w:val="20"/>
          <w:szCs w:val="20"/>
        </w:rPr>
        <w:t xml:space="preserve">RAN2 postpone making down-selection between the approaches for FS reporting until RAN4 makes conclusion on fallback of Rel-18 Tx switching to Rel-16/17 Tx switching. </w:t>
      </w:r>
    </w:p>
    <w:p w14:paraId="070F579C" w14:textId="750D908A" w:rsidR="00B7789A" w:rsidRDefault="00B7789A" w:rsidP="00B7789A">
      <w:pPr>
        <w:pStyle w:val="3"/>
      </w:pPr>
      <w:r>
        <w:t>switching period</w:t>
      </w:r>
    </w:p>
    <w:p w14:paraId="72A0C0D4" w14:textId="77777777" w:rsidR="00B7789A" w:rsidRDefault="00B7789A" w:rsidP="00B7789A">
      <w:pPr>
        <w:spacing w:after="120"/>
      </w:pPr>
      <w:r>
        <w:t>This section treats the following proposal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7789A" w14:paraId="73705182" w14:textId="77777777" w:rsidTr="00F95769">
        <w:tc>
          <w:tcPr>
            <w:tcW w:w="9060" w:type="dxa"/>
          </w:tcPr>
          <w:p w14:paraId="1C1277F5" w14:textId="77777777" w:rsidR="00B7789A" w:rsidRDefault="00B7789A" w:rsidP="00F95769">
            <w:pPr>
              <w:pStyle w:val="ProposalandObservation"/>
              <w:snapToGrid w:val="0"/>
            </w:pPr>
            <w:r>
              <w:rPr>
                <w:rFonts w:hint="eastAsia"/>
              </w:rPr>
              <w:t>P</w:t>
            </w:r>
            <w:r>
              <w:t>roposal 6.</w:t>
            </w:r>
            <w:r>
              <w:tab/>
              <w:t>Continue discussion to down-select from following alternatives.</w:t>
            </w:r>
          </w:p>
          <w:p w14:paraId="0B90BE0F" w14:textId="77777777" w:rsidR="00B7789A" w:rsidRPr="00F65632" w:rsidRDefault="00B7789A" w:rsidP="00F95769">
            <w:pPr>
              <w:snapToGrid w:val="0"/>
              <w:ind w:left="658" w:hangingChars="329" w:hanging="658"/>
              <w:rPr>
                <w:rFonts w:ascii="Arial" w:hAnsi="Arial" w:cs="Arial"/>
                <w:b/>
                <w:bCs/>
              </w:rPr>
            </w:pPr>
            <w:r w:rsidRPr="00F65632">
              <w:rPr>
                <w:rFonts w:ascii="Arial" w:hAnsi="Arial" w:cs="Arial"/>
                <w:b/>
                <w:bCs/>
              </w:rPr>
              <w:t>Alt.1:</w:t>
            </w:r>
            <w:r>
              <w:rPr>
                <w:rFonts w:ascii="Arial" w:hAnsi="Arial" w:cs="Arial"/>
                <w:b/>
                <w:bCs/>
              </w:rPr>
              <w:tab/>
            </w:r>
            <w:r w:rsidRPr="00F65632">
              <w:rPr>
                <w:rFonts w:ascii="Arial" w:hAnsi="Arial" w:cs="Arial"/>
                <w:b/>
                <w:bCs/>
              </w:rPr>
              <w:t>RAN2 introduce one per-band-pair UE capability to report a length of a switching period.</w:t>
            </w:r>
          </w:p>
          <w:p w14:paraId="4AD806F0" w14:textId="77777777" w:rsidR="00B7789A" w:rsidRDefault="00B7789A" w:rsidP="00F95769">
            <w:pPr>
              <w:snapToGrid w:val="0"/>
              <w:ind w:left="658" w:hangingChars="329" w:hanging="658"/>
              <w:rPr>
                <w:rFonts w:ascii="Arial" w:hAnsi="Arial" w:cs="Arial"/>
                <w:b/>
                <w:bCs/>
              </w:rPr>
            </w:pPr>
            <w:r w:rsidRPr="00F65632">
              <w:rPr>
                <w:rFonts w:ascii="Arial" w:hAnsi="Arial" w:cs="Arial"/>
                <w:b/>
                <w:bCs/>
              </w:rPr>
              <w:t>Alt.2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F65632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  <w:b/>
                <w:bCs/>
              </w:rPr>
              <w:tab/>
            </w:r>
            <w:r w:rsidRPr="00F65632">
              <w:rPr>
                <w:rFonts w:ascii="Arial" w:hAnsi="Arial" w:cs="Arial"/>
                <w:b/>
                <w:bCs/>
              </w:rPr>
              <w:t>RAN2 introduce two per-band-pair UE capabilities, a length of a switching period for 1Tx-2Tx switching (like Rel-16) and that for 2Tx-2Tx switching</w:t>
            </w:r>
            <w:r>
              <w:rPr>
                <w:rFonts w:ascii="Arial" w:hAnsi="Arial" w:cs="Arial"/>
                <w:b/>
                <w:bCs/>
              </w:rPr>
              <w:t xml:space="preserve"> (like Rel-17)</w:t>
            </w:r>
            <w:r w:rsidRPr="00F65632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If the UE supports both 1T-2T and 2T-2T switching for the band pair, the UE shall report both capabilities.</w:t>
            </w:r>
          </w:p>
          <w:p w14:paraId="5C8EF596" w14:textId="77777777" w:rsidR="00B7789A" w:rsidRDefault="00B7789A" w:rsidP="00F95769">
            <w:r>
              <w:rPr>
                <w:rFonts w:ascii="Arial" w:hAnsi="Arial" w:cs="Arial" w:hint="eastAsia"/>
                <w:b/>
                <w:bCs/>
                <w:lang w:eastAsia="ja-JP"/>
              </w:rPr>
              <w:t>A</w:t>
            </w:r>
            <w:r>
              <w:rPr>
                <w:rFonts w:ascii="Arial" w:hAnsi="Arial" w:cs="Arial"/>
                <w:b/>
                <w:bCs/>
                <w:lang w:eastAsia="ja-JP"/>
              </w:rPr>
              <w:t>lt.2b:</w:t>
            </w:r>
            <w:r>
              <w:rPr>
                <w:rFonts w:ascii="Arial" w:hAnsi="Arial" w:cs="Arial"/>
                <w:b/>
                <w:bCs/>
                <w:lang w:eastAsia="ja-JP"/>
              </w:rPr>
              <w:tab/>
            </w:r>
            <w:r w:rsidRPr="00F65632">
              <w:rPr>
                <w:rFonts w:ascii="Arial" w:hAnsi="Arial" w:cs="Arial"/>
                <w:b/>
                <w:bCs/>
              </w:rPr>
              <w:t>RAN2 introduce two per-band-pair UE capabilities, a length of a switching period for 1Tx-2Tx switching (like Rel-16) and that for 2Tx-2Tx switching</w:t>
            </w:r>
            <w:r>
              <w:rPr>
                <w:rFonts w:ascii="Arial" w:hAnsi="Arial" w:cs="Arial"/>
                <w:b/>
                <w:bCs/>
              </w:rPr>
              <w:t xml:space="preserve"> (like Rel-17). If the UE supports both 1T-2T and 2T-2T switching for the band pair, the UE can report</w:t>
            </w:r>
            <w:r>
              <w:rPr>
                <w:rFonts w:ascii="Arial" w:hAnsi="Arial" w:cs="Arial"/>
                <w:b/>
                <w:bCs/>
              </w:rPr>
              <w:br/>
              <w:t>- both capabilities.</w:t>
            </w:r>
            <w:r>
              <w:rPr>
                <w:rFonts w:ascii="Arial" w:hAnsi="Arial" w:cs="Arial"/>
                <w:b/>
                <w:bCs/>
              </w:rPr>
              <w:br/>
              <w:t xml:space="preserve">- either of capabilities to be applied to both switching. </w:t>
            </w:r>
            <w:r w:rsidRPr="003B1DAB">
              <w:rPr>
                <w:rFonts w:ascii="Arial" w:hAnsi="Arial" w:cs="Arial"/>
                <w:b/>
                <w:bCs/>
              </w:rPr>
              <w:t>(FFS on which is reported.)</w:t>
            </w:r>
          </w:p>
        </w:tc>
      </w:tr>
    </w:tbl>
    <w:p w14:paraId="25B3FF0E" w14:textId="0D6BF855" w:rsidR="007B7403" w:rsidRDefault="008C3E44" w:rsidP="00B7789A">
      <w:pPr>
        <w:spacing w:before="120" w:after="120"/>
      </w:pPr>
      <w:r>
        <w:t xml:space="preserve">After Rapporteur </w:t>
      </w:r>
      <w:r w:rsidR="007B7403">
        <w:t>refers to</w:t>
      </w:r>
      <w:r>
        <w:t xml:space="preserve"> </w:t>
      </w:r>
      <w:r w:rsidR="007B7403">
        <w:t xml:space="preserve">endorsed </w:t>
      </w:r>
      <w:r>
        <w:t>RAN4 CR</w:t>
      </w:r>
      <w:r w:rsidR="002404D8">
        <w:t xml:space="preserve"> </w:t>
      </w:r>
      <w:r w:rsidR="002404D8" w:rsidRPr="002404D8">
        <w:t>(R4-230719)</w:t>
      </w:r>
      <w:r w:rsidR="007B7403">
        <w:t xml:space="preserve"> with the following statement: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B7403" w14:paraId="37235497" w14:textId="77777777" w:rsidTr="007B7403">
        <w:tc>
          <w:tcPr>
            <w:tcW w:w="9060" w:type="dxa"/>
          </w:tcPr>
          <w:p w14:paraId="4EC35867" w14:textId="752A9644" w:rsidR="007B7403" w:rsidRDefault="0081786F" w:rsidP="00B7789A">
            <w:pPr>
              <w:spacing w:before="120" w:after="120"/>
            </w:pPr>
            <w:r w:rsidRPr="0081786F">
              <w:t>For each band pair, the length of uplink switching period X is indicated by UE capability [uplinkTxSwitchingPeriod1T-r18] when 1Tx-1Tx switching or 1Tx-2Tx switching between the two bands in the band pair is supported and configured, or is indicated with [uplinkTxSwitchingPeriod2T-r18] when 2Tx-</w:t>
            </w:r>
            <w:r w:rsidRPr="0081786F">
              <w:lastRenderedPageBreak/>
              <w:t>2Tx switching between the two bands in the band pair is supported and configured.</w:t>
            </w:r>
          </w:p>
        </w:tc>
      </w:tr>
    </w:tbl>
    <w:p w14:paraId="7DBE42A3" w14:textId="00027B5A" w:rsidR="00B7789A" w:rsidRDefault="007B7403" w:rsidP="00B7789A">
      <w:pPr>
        <w:spacing w:before="120" w:after="120"/>
      </w:pPr>
      <w:r>
        <w:lastRenderedPageBreak/>
        <w:t>W</w:t>
      </w:r>
      <w:r w:rsidR="008C3E44">
        <w:t xml:space="preserve">e </w:t>
      </w:r>
      <w:r w:rsidR="002404D8">
        <w:t xml:space="preserve">tend to </w:t>
      </w:r>
      <w:r w:rsidR="008C3E44">
        <w:t xml:space="preserve">agree that </w:t>
      </w:r>
      <w:r w:rsidR="0081786F">
        <w:t>RAN2</w:t>
      </w:r>
      <w:r>
        <w:t xml:space="preserve"> should pursue Alt.2</w:t>
      </w:r>
      <w:r w:rsidR="002404D8">
        <w:t>a</w:t>
      </w:r>
      <w:r w:rsidR="0081786F">
        <w:t xml:space="preserve"> to align with RAN4’s conclusion</w:t>
      </w:r>
      <w:r w:rsidR="002404D8">
        <w:t xml:space="preserve"> in a straightforward way</w:t>
      </w:r>
      <w:r>
        <w:t xml:space="preserve">. </w:t>
      </w:r>
    </w:p>
    <w:p w14:paraId="02FAFF4A" w14:textId="20389D5A" w:rsidR="0081786F" w:rsidRDefault="0081786F" w:rsidP="0081786F">
      <w:pPr>
        <w:pStyle w:val="aa"/>
        <w:numPr>
          <w:ilvl w:val="0"/>
          <w:numId w:val="21"/>
        </w:numPr>
        <w:spacing w:after="120"/>
        <w:ind w:left="1701" w:firstLineChars="0" w:hanging="1701"/>
        <w:rPr>
          <w:rFonts w:ascii="Times New Roman" w:hAnsi="Times New Roman"/>
          <w:b/>
          <w:sz w:val="20"/>
          <w:szCs w:val="20"/>
        </w:rPr>
      </w:pPr>
      <w:r w:rsidRPr="0081786F">
        <w:rPr>
          <w:rFonts w:ascii="Times New Roman" w:hAnsi="Times New Roman"/>
          <w:b/>
          <w:sz w:val="20"/>
          <w:szCs w:val="20"/>
        </w:rPr>
        <w:t>RAN2 introduce two per-band-pair UE capabilities, a length of a switching period for 1Tx-2Tx switching (like Rel-16) and that for 2Tx-2Tx switching (like Rel-17). If the UE supports both 1T-2T and 2T-2T switching for the band pair, the UE shall report both capabilities.</w:t>
      </w:r>
      <w:r w:rsidRPr="001C576E">
        <w:rPr>
          <w:rFonts w:ascii="Times New Roman" w:hAnsi="Times New Roman"/>
          <w:b/>
          <w:sz w:val="20"/>
          <w:szCs w:val="20"/>
        </w:rPr>
        <w:t xml:space="preserve"> </w:t>
      </w:r>
    </w:p>
    <w:p w14:paraId="51DF1731" w14:textId="709BB174" w:rsidR="00B7789A" w:rsidRDefault="00B7789A" w:rsidP="00541641">
      <w:pPr>
        <w:pStyle w:val="2"/>
      </w:pPr>
      <w:r>
        <w:t>RRC configuration</w:t>
      </w:r>
    </w:p>
    <w:p w14:paraId="02DB5EE9" w14:textId="36255949" w:rsidR="00541641" w:rsidRDefault="001C576E" w:rsidP="00B7789A">
      <w:pPr>
        <w:pStyle w:val="3"/>
      </w:pPr>
      <w:r>
        <w:t>Associated band</w:t>
      </w:r>
    </w:p>
    <w:p w14:paraId="3946B2F0" w14:textId="77777777" w:rsidR="0076503B" w:rsidRDefault="0076503B" w:rsidP="0076503B">
      <w:pPr>
        <w:spacing w:after="120"/>
      </w:pPr>
      <w:r>
        <w:t>This section treats the following proposal in [2].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6503B" w14:paraId="0FC088BA" w14:textId="77777777" w:rsidTr="0076503B">
        <w:tc>
          <w:tcPr>
            <w:tcW w:w="9060" w:type="dxa"/>
          </w:tcPr>
          <w:p w14:paraId="399A071A" w14:textId="77777777" w:rsidR="0076503B" w:rsidRDefault="0076503B" w:rsidP="0076503B">
            <w:pPr>
              <w:pStyle w:val="ProposalandObservation"/>
              <w:snapToGrid w:val="0"/>
            </w:pPr>
            <w:r>
              <w:t>Proposal 3-1.</w:t>
            </w:r>
            <w:r>
              <w:tab/>
              <w:t>Continue discussion if it is agreeable that the network ensures the UE supports dualUL for a band and its associated band.</w:t>
            </w:r>
          </w:p>
          <w:p w14:paraId="650F35AD" w14:textId="77777777" w:rsidR="0076503B" w:rsidRDefault="0076503B" w:rsidP="0076503B">
            <w:pPr>
              <w:pStyle w:val="ProposalandObservation"/>
              <w:snapToGrid w:val="0"/>
            </w:pPr>
            <w:r>
              <w:t>Proposal 3-2.</w:t>
            </w:r>
            <w:r>
              <w:tab/>
              <w:t>Continue discussion to down-select from following options.</w:t>
            </w:r>
          </w:p>
          <w:p w14:paraId="138B27C2" w14:textId="77777777" w:rsidR="0076503B" w:rsidRDefault="0076503B" w:rsidP="0076503B">
            <w:pPr>
              <w:pStyle w:val="aa"/>
              <w:widowControl/>
              <w:numPr>
                <w:ilvl w:val="0"/>
                <w:numId w:val="22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Option 1. When the UE is indicated to switch from two bands to one different band (e.g., A+B=&gt;C), the UE follow uplinkTxSwitching-DualUL-TxState and the associated band regardless of the switching option.</w:t>
            </w:r>
          </w:p>
          <w:p w14:paraId="5C810542" w14:textId="77777777" w:rsidR="0076503B" w:rsidRDefault="0076503B" w:rsidP="0076503B">
            <w:pPr>
              <w:pStyle w:val="aa"/>
              <w:widowControl/>
              <w:numPr>
                <w:ilvl w:val="0"/>
                <w:numId w:val="22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Option 2. When the UE is indicated to switch from two bands to one different band (e.g., A+B=&gt;C) and uplinkTxSwitching-DualUL-TxState is configured as oneT, the UE first checks switching options configured to band pairs including the target band (i.e., {A, C}, {B, C}, and {C, D} if exists.).</w:t>
            </w:r>
          </w:p>
          <w:p w14:paraId="1E11E1FC" w14:textId="77777777" w:rsidR="0076503B" w:rsidRDefault="0076503B" w:rsidP="0076503B">
            <w:pPr>
              <w:pStyle w:val="aa"/>
              <w:widowControl/>
              <w:numPr>
                <w:ilvl w:val="1"/>
                <w:numId w:val="22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If all band pairs are configured as switchedUL, the UE switches the remaining Tx chain to the transmitting band.</w:t>
            </w:r>
          </w:p>
          <w:p w14:paraId="2DCF962A" w14:textId="4A258FFE" w:rsidR="0076503B" w:rsidRPr="0076503B" w:rsidRDefault="0076503B" w:rsidP="0076503B">
            <w:pPr>
              <w:pStyle w:val="aa"/>
              <w:widowControl/>
              <w:numPr>
                <w:ilvl w:val="1"/>
                <w:numId w:val="22"/>
              </w:numPr>
              <w:snapToGrid w:val="0"/>
              <w:spacing w:after="180"/>
              <w:ind w:firstLineChars="0"/>
              <w:jc w:val="left"/>
              <w:rPr>
                <w:rFonts w:ascii="Arial" w:hAnsi="Arial" w:cs="Arial"/>
                <w:b/>
                <w:bCs/>
              </w:rPr>
            </w:pPr>
            <w:r w:rsidRPr="0076503B">
              <w:rPr>
                <w:rFonts w:ascii="Arial" w:eastAsia="Malgun Gothic" w:hAnsi="Arial" w:cs="Arial"/>
                <w:b/>
                <w:bCs/>
                <w:szCs w:val="20"/>
              </w:rPr>
              <w:t>Otherwise, the UE switches the remaining Tx chain to the associated band.</w:t>
            </w:r>
          </w:p>
        </w:tc>
      </w:tr>
    </w:tbl>
    <w:p w14:paraId="6961F316" w14:textId="3E53ADC6" w:rsidR="00194C84" w:rsidRDefault="0076503B" w:rsidP="0076503B">
      <w:pPr>
        <w:spacing w:before="120" w:after="12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According to following R1#111 agreement, the use of new RRC parameter to address the switching </w:t>
      </w:r>
      <w:r w:rsidR="00B7789A">
        <w:rPr>
          <w:rFonts w:cs="Times New Roman"/>
          <w:szCs w:val="20"/>
        </w:rPr>
        <w:t xml:space="preserve">state </w:t>
      </w:r>
      <w:r>
        <w:rPr>
          <w:rFonts w:cs="Times New Roman"/>
          <w:szCs w:val="20"/>
        </w:rPr>
        <w:t xml:space="preserve">ambiguity problem only applies to the case when dualUL is configured. Therefore, we think Rapporteur’s proposal 3-1 </w:t>
      </w:r>
      <w:r w:rsidR="00E839F7">
        <w:rPr>
          <w:rFonts w:cs="Times New Roman"/>
          <w:szCs w:val="20"/>
        </w:rPr>
        <w:t>is agreeable</w:t>
      </w:r>
      <w:r>
        <w:rPr>
          <w:rFonts w:cs="Times New Roman"/>
          <w:szCs w:val="20"/>
        </w:rPr>
        <w:t>.</w:t>
      </w:r>
    </w:p>
    <w:p w14:paraId="4C64DD57" w14:textId="155A1B63" w:rsidR="0076503B" w:rsidRPr="0076503B" w:rsidRDefault="0076503B" w:rsidP="0076503B">
      <w:pPr>
        <w:pStyle w:val="aa"/>
        <w:numPr>
          <w:ilvl w:val="0"/>
          <w:numId w:val="21"/>
        </w:numPr>
        <w:spacing w:after="120"/>
        <w:ind w:left="1701" w:firstLineChars="0" w:hanging="170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To solve </w:t>
      </w:r>
      <w:r w:rsidRPr="0076503B">
        <w:rPr>
          <w:rFonts w:ascii="Times New Roman" w:hAnsi="Times New Roman"/>
          <w:b/>
          <w:sz w:val="20"/>
          <w:szCs w:val="20"/>
        </w:rPr>
        <w:t xml:space="preserve">the issue on ambiguous switching state </w:t>
      </w:r>
      <w:r>
        <w:rPr>
          <w:rFonts w:ascii="Times New Roman" w:hAnsi="Times New Roman"/>
          <w:b/>
          <w:sz w:val="20"/>
          <w:szCs w:val="20"/>
        </w:rPr>
        <w:t xml:space="preserve">by </w:t>
      </w:r>
      <w:r w:rsidRPr="0076503B">
        <w:rPr>
          <w:rFonts w:ascii="Times New Roman" w:hAnsi="Times New Roman"/>
          <w:b/>
          <w:sz w:val="20"/>
          <w:szCs w:val="20"/>
        </w:rPr>
        <w:t>reuse existing RRC parameter {oneT, twoT} via uplinkTxSwitching-DualUL-TxState</w:t>
      </w:r>
      <w:r>
        <w:rPr>
          <w:rFonts w:ascii="Times New Roman" w:hAnsi="Times New Roman"/>
          <w:b/>
          <w:sz w:val="20"/>
          <w:szCs w:val="20"/>
        </w:rPr>
        <w:t xml:space="preserve">, </w:t>
      </w:r>
      <w:r w:rsidRPr="0076503B">
        <w:rPr>
          <w:rFonts w:ascii="Times New Roman" w:hAnsi="Times New Roman"/>
          <w:b/>
          <w:sz w:val="20"/>
          <w:szCs w:val="20"/>
        </w:rPr>
        <w:t>the network ensures the UE supports dualUL for a band and its associated band</w:t>
      </w:r>
      <w:r w:rsidRPr="001C576E">
        <w:rPr>
          <w:rFonts w:ascii="Times New Roman" w:hAnsi="Times New Roman"/>
          <w:b/>
          <w:sz w:val="20"/>
          <w:szCs w:val="20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6503B" w14:paraId="6F7A66DD" w14:textId="77777777" w:rsidTr="0076503B">
        <w:tc>
          <w:tcPr>
            <w:tcW w:w="9060" w:type="dxa"/>
          </w:tcPr>
          <w:p w14:paraId="4F7C2AB1" w14:textId="77777777" w:rsidR="0076503B" w:rsidRPr="001C2551" w:rsidRDefault="0076503B" w:rsidP="0076503B">
            <w:pPr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</w:t>
            </w:r>
            <w:r w:rsidRPr="001C2551">
              <w:rPr>
                <w:highlight w:val="green"/>
                <w:lang w:eastAsia="x-none"/>
              </w:rPr>
              <w:t>greement</w:t>
            </w:r>
            <w:r>
              <w:rPr>
                <w:highlight w:val="green"/>
                <w:lang w:eastAsia="x-none"/>
              </w:rPr>
              <w:t>:</w:t>
            </w:r>
          </w:p>
          <w:p w14:paraId="697E9F37" w14:textId="77777777" w:rsidR="0076503B" w:rsidRPr="00C4143E" w:rsidRDefault="0076503B" w:rsidP="0076503B">
            <w:pPr>
              <w:rPr>
                <w:rFonts w:eastAsia="MS Mincho"/>
              </w:rPr>
            </w:pPr>
            <w:r w:rsidRPr="00C4143E">
              <w:rPr>
                <w:rFonts w:eastAsia="MS Mincho"/>
              </w:rPr>
              <w:t>Following working assumption is confirmed with updates.</w:t>
            </w:r>
          </w:p>
          <w:p w14:paraId="39AEF5CB" w14:textId="77777777" w:rsidR="0076503B" w:rsidRPr="00C4143E" w:rsidRDefault="0076503B" w:rsidP="0076503B">
            <w:pPr>
              <w:ind w:left="720"/>
              <w:rPr>
                <w:sz w:val="18"/>
                <w:szCs w:val="18"/>
              </w:rPr>
            </w:pPr>
            <w:r w:rsidRPr="00C4143E">
              <w:rPr>
                <w:sz w:val="18"/>
                <w:szCs w:val="18"/>
                <w:highlight w:val="darkYellow"/>
              </w:rPr>
              <w:t>Working Assumption</w:t>
            </w:r>
          </w:p>
          <w:p w14:paraId="08184D68" w14:textId="77777777" w:rsidR="0076503B" w:rsidRPr="00C4143E" w:rsidRDefault="0076503B" w:rsidP="0076503B">
            <w:pPr>
              <w:ind w:left="720"/>
              <w:rPr>
                <w:sz w:val="18"/>
                <w:szCs w:val="18"/>
              </w:rPr>
            </w:pPr>
            <w:r w:rsidRPr="00C4143E">
              <w:rPr>
                <w:strike/>
                <w:color w:val="FF0000"/>
                <w:sz w:val="18"/>
                <w:szCs w:val="18"/>
              </w:rPr>
              <w:t xml:space="preserve">At least </w:t>
            </w:r>
            <w:r w:rsidRPr="0076503B">
              <w:rPr>
                <w:sz w:val="18"/>
                <w:szCs w:val="18"/>
                <w:highlight w:val="yellow"/>
              </w:rPr>
              <w:t>for dual UL</w:t>
            </w:r>
            <w:r w:rsidRPr="00C4143E">
              <w:rPr>
                <w:sz w:val="18"/>
                <w:szCs w:val="18"/>
              </w:rPr>
              <w:t>, reuse existing RRC parameter {oneT, twoT} via uplinkTxSwitching-DualUL-TxState to solve the issue on ambiguous switching state at least for following cases</w:t>
            </w:r>
          </w:p>
          <w:p w14:paraId="578E4EFB" w14:textId="6F8E7471" w:rsidR="0076503B" w:rsidRPr="00C4143E" w:rsidRDefault="0076503B" w:rsidP="0076503B">
            <w:pPr>
              <w:pStyle w:val="aa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left="1440" w:firstLineChars="0"/>
              <w:contextualSpacing/>
              <w:jc w:val="left"/>
              <w:textAlignment w:val="baseline"/>
              <w:rPr>
                <w:sz w:val="18"/>
                <w:szCs w:val="18"/>
                <w:lang w:eastAsia="x-none"/>
              </w:rPr>
            </w:pPr>
            <w:r w:rsidRPr="00C4143E">
              <w:rPr>
                <w:sz w:val="18"/>
                <w:szCs w:val="18"/>
              </w:rPr>
              <w:t xml:space="preserve">Case#1 of the issue: </w:t>
            </w:r>
            <w:r>
              <w:rPr>
                <w:sz w:val="18"/>
                <w:szCs w:val="18"/>
              </w:rPr>
              <w:t>…</w:t>
            </w:r>
          </w:p>
          <w:p w14:paraId="4FE06B1F" w14:textId="10430476" w:rsidR="0076503B" w:rsidRDefault="0076503B" w:rsidP="00E839F7">
            <w:pPr>
              <w:pStyle w:val="aa"/>
              <w:widowControl/>
              <w:numPr>
                <w:ilvl w:val="0"/>
                <w:numId w:val="24"/>
              </w:numPr>
              <w:tabs>
                <w:tab w:val="clear" w:pos="0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ind w:left="1571" w:firstLineChars="0"/>
              <w:contextualSpacing/>
              <w:jc w:val="left"/>
              <w:textAlignment w:val="baseline"/>
              <w:rPr>
                <w:szCs w:val="20"/>
              </w:rPr>
            </w:pPr>
            <w:r w:rsidRPr="00C4143E">
              <w:rPr>
                <w:sz w:val="18"/>
                <w:szCs w:val="18"/>
              </w:rPr>
              <w:t xml:space="preserve">Case#2 of the issue: </w:t>
            </w:r>
            <w:r w:rsidR="00E839F7">
              <w:rPr>
                <w:sz w:val="18"/>
                <w:szCs w:val="18"/>
              </w:rPr>
              <w:t>…</w:t>
            </w:r>
          </w:p>
        </w:tc>
      </w:tr>
    </w:tbl>
    <w:p w14:paraId="20093B20" w14:textId="67E047F8" w:rsidR="0076503B" w:rsidRDefault="00B7789A" w:rsidP="0076503B">
      <w:pPr>
        <w:spacing w:before="120" w:after="120"/>
        <w:rPr>
          <w:rFonts w:cs="Times New Roman"/>
          <w:szCs w:val="20"/>
        </w:rPr>
      </w:pPr>
      <w:r>
        <w:rPr>
          <w:rFonts w:cs="Times New Roman"/>
          <w:szCs w:val="20"/>
        </w:rPr>
        <w:t>Based on proposal 2, we think option 2 of Rapporteur’s proposal 3-2 is more reasonable by first checking the switching options for all the band pairs that include the target band.</w:t>
      </w:r>
    </w:p>
    <w:p w14:paraId="56BFD2EA" w14:textId="77777777" w:rsidR="00B7789A" w:rsidRDefault="00B7789A" w:rsidP="00B7789A">
      <w:pPr>
        <w:pStyle w:val="aa"/>
        <w:numPr>
          <w:ilvl w:val="0"/>
          <w:numId w:val="21"/>
        </w:numPr>
        <w:spacing w:after="120"/>
        <w:ind w:left="1701" w:firstLineChars="0" w:hanging="1701"/>
        <w:rPr>
          <w:rFonts w:ascii="Times New Roman" w:hAnsi="Times New Roman"/>
          <w:b/>
          <w:sz w:val="20"/>
          <w:szCs w:val="20"/>
        </w:rPr>
      </w:pPr>
      <w:r w:rsidRPr="00B7789A">
        <w:rPr>
          <w:rFonts w:ascii="Times New Roman" w:hAnsi="Times New Roman"/>
          <w:b/>
          <w:sz w:val="20"/>
          <w:szCs w:val="20"/>
        </w:rPr>
        <w:lastRenderedPageBreak/>
        <w:t>When the UE is indicated to switch from two bands to one different band (e.g., A+B=&gt;C) and uplinkTxSwitching-DualUL-TxState is configured as oneT, the UE first checks switching options configured to band pairs including the target band (i.e., {A, C}, {B, C}, and {C, D} if exists.).</w:t>
      </w:r>
    </w:p>
    <w:p w14:paraId="58B25EC5" w14:textId="77777777" w:rsidR="00B7789A" w:rsidRPr="00B7789A" w:rsidRDefault="00B7789A" w:rsidP="00B7789A">
      <w:pPr>
        <w:pStyle w:val="aa"/>
        <w:numPr>
          <w:ilvl w:val="0"/>
          <w:numId w:val="25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 w:rsidRPr="00B7789A">
        <w:rPr>
          <w:rFonts w:ascii="Times New Roman" w:hAnsi="Times New Roman"/>
          <w:b/>
          <w:sz w:val="20"/>
          <w:szCs w:val="20"/>
        </w:rPr>
        <w:t>If all band pairs are configured as switchedUL, the UE switches the remaining Tx chain to the transmitting band.</w:t>
      </w:r>
    </w:p>
    <w:p w14:paraId="1E9FC52F" w14:textId="6D6BFA00" w:rsidR="00B7789A" w:rsidRPr="0081786F" w:rsidRDefault="00B7789A" w:rsidP="00B7789A">
      <w:pPr>
        <w:pStyle w:val="aa"/>
        <w:numPr>
          <w:ilvl w:val="0"/>
          <w:numId w:val="25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 w:rsidRPr="00B7789A">
        <w:rPr>
          <w:rFonts w:ascii="Times New Roman" w:hAnsi="Times New Roman"/>
          <w:b/>
          <w:sz w:val="20"/>
          <w:szCs w:val="20"/>
        </w:rPr>
        <w:t>Otherwise, the UE switches the remaining Tx chain to the associated band.</w:t>
      </w:r>
      <w:bookmarkStart w:id="10" w:name="_Hlk92538289"/>
    </w:p>
    <w:bookmarkEnd w:id="10"/>
    <w:p w14:paraId="74CDD6C6" w14:textId="77777777" w:rsidR="001A25FC" w:rsidRDefault="001A25FC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6262B4FA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proposals:</w:t>
      </w:r>
    </w:p>
    <w:p w14:paraId="5E93ABAA" w14:textId="0E989126" w:rsidR="00541641" w:rsidRPr="0081786F" w:rsidRDefault="0081786F" w:rsidP="00541641">
      <w:pPr>
        <w:pStyle w:val="aa"/>
        <w:numPr>
          <w:ilvl w:val="0"/>
          <w:numId w:val="12"/>
        </w:numPr>
        <w:ind w:left="1701" w:firstLineChars="0" w:hanging="1701"/>
        <w:rPr>
          <w:rFonts w:ascii="Times New Roman" w:hAnsi="Times New Roman"/>
          <w:b/>
          <w:kern w:val="0"/>
          <w:sz w:val="20"/>
          <w:szCs w:val="24"/>
        </w:rPr>
      </w:pPr>
      <w:r w:rsidRPr="001C576E">
        <w:rPr>
          <w:rFonts w:ascii="Times New Roman" w:hAnsi="Times New Roman"/>
          <w:b/>
          <w:sz w:val="20"/>
          <w:szCs w:val="20"/>
        </w:rPr>
        <w:t>RAN2 postpone making down-selection between the approaches for FS reporting until RAN4 makes conclusion on fallback of Rel-18 Tx switching to Rel-16/17 Tx switching.</w:t>
      </w:r>
    </w:p>
    <w:p w14:paraId="0E0509F7" w14:textId="35C58774" w:rsidR="0081786F" w:rsidRDefault="0081786F" w:rsidP="00541641">
      <w:pPr>
        <w:pStyle w:val="aa"/>
        <w:numPr>
          <w:ilvl w:val="0"/>
          <w:numId w:val="12"/>
        </w:numPr>
        <w:ind w:left="1701" w:firstLineChars="0" w:hanging="1701"/>
        <w:rPr>
          <w:rFonts w:ascii="Times New Roman" w:hAnsi="Times New Roman"/>
          <w:b/>
          <w:kern w:val="0"/>
          <w:sz w:val="20"/>
          <w:szCs w:val="24"/>
        </w:rPr>
      </w:pPr>
      <w:r w:rsidRPr="0081786F">
        <w:rPr>
          <w:rFonts w:ascii="Times New Roman" w:hAnsi="Times New Roman"/>
          <w:b/>
          <w:sz w:val="20"/>
          <w:szCs w:val="20"/>
        </w:rPr>
        <w:t>RAN2 introduce two per-band-pair UE capabilities, a length of a switching period for 1Tx-2Tx switching (like Rel-16) and that for 2Tx-2Tx switching (like Rel-17). If the UE supports both 1T-2T and 2T-2T switching for the band pair, the UE shall report both capabilities.</w:t>
      </w:r>
    </w:p>
    <w:p w14:paraId="3B4324D8" w14:textId="79C1452C" w:rsidR="00E443C4" w:rsidRPr="0081786F" w:rsidRDefault="0081786F" w:rsidP="00541641">
      <w:pPr>
        <w:pStyle w:val="aa"/>
        <w:numPr>
          <w:ilvl w:val="0"/>
          <w:numId w:val="12"/>
        </w:numPr>
        <w:ind w:left="1701" w:firstLineChars="0" w:hanging="1701"/>
        <w:rPr>
          <w:rFonts w:ascii="Times New Roman" w:hAnsi="Times New Roman"/>
          <w:b/>
          <w:kern w:val="0"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To solve </w:t>
      </w:r>
      <w:r w:rsidRPr="0076503B">
        <w:rPr>
          <w:rFonts w:ascii="Times New Roman" w:hAnsi="Times New Roman"/>
          <w:b/>
          <w:sz w:val="20"/>
          <w:szCs w:val="20"/>
        </w:rPr>
        <w:t xml:space="preserve">the issue on ambiguous switching state </w:t>
      </w:r>
      <w:r>
        <w:rPr>
          <w:rFonts w:ascii="Times New Roman" w:hAnsi="Times New Roman"/>
          <w:b/>
          <w:sz w:val="20"/>
          <w:szCs w:val="20"/>
        </w:rPr>
        <w:t xml:space="preserve">by </w:t>
      </w:r>
      <w:r w:rsidRPr="0076503B">
        <w:rPr>
          <w:rFonts w:ascii="Times New Roman" w:hAnsi="Times New Roman"/>
          <w:b/>
          <w:sz w:val="20"/>
          <w:szCs w:val="20"/>
        </w:rPr>
        <w:t>reuse existing RRC parameter {oneT, twoT} via uplinkTxSwitching-DualUL-TxState</w:t>
      </w:r>
      <w:r>
        <w:rPr>
          <w:rFonts w:ascii="Times New Roman" w:hAnsi="Times New Roman"/>
          <w:b/>
          <w:sz w:val="20"/>
          <w:szCs w:val="20"/>
        </w:rPr>
        <w:t xml:space="preserve">, </w:t>
      </w:r>
      <w:r w:rsidRPr="0076503B">
        <w:rPr>
          <w:rFonts w:ascii="Times New Roman" w:hAnsi="Times New Roman"/>
          <w:b/>
          <w:sz w:val="20"/>
          <w:szCs w:val="20"/>
        </w:rPr>
        <w:t>the network ensures the UE supports dualUL for a band and its associated band</w:t>
      </w:r>
      <w:r w:rsidRPr="001C576E">
        <w:rPr>
          <w:rFonts w:ascii="Times New Roman" w:hAnsi="Times New Roman"/>
          <w:b/>
          <w:sz w:val="20"/>
          <w:szCs w:val="20"/>
        </w:rPr>
        <w:t>.</w:t>
      </w:r>
    </w:p>
    <w:p w14:paraId="0687A4B2" w14:textId="7092E1FD" w:rsidR="0081786F" w:rsidRPr="0081786F" w:rsidRDefault="0081786F" w:rsidP="00541641">
      <w:pPr>
        <w:pStyle w:val="aa"/>
        <w:numPr>
          <w:ilvl w:val="0"/>
          <w:numId w:val="12"/>
        </w:numPr>
        <w:ind w:left="1701" w:firstLineChars="0" w:hanging="1701"/>
        <w:rPr>
          <w:rFonts w:ascii="Times New Roman" w:hAnsi="Times New Roman"/>
          <w:b/>
          <w:kern w:val="0"/>
          <w:sz w:val="20"/>
          <w:szCs w:val="24"/>
        </w:rPr>
      </w:pPr>
      <w:r w:rsidRPr="00B7789A">
        <w:rPr>
          <w:rFonts w:ascii="Times New Roman" w:hAnsi="Times New Roman"/>
          <w:b/>
          <w:sz w:val="20"/>
          <w:szCs w:val="20"/>
        </w:rPr>
        <w:t>When the UE is indicated to switch from two bands to one different band (e.g., A+B=&gt;C) and uplinkTxSwitching-DualUL-TxState is configured as oneT, the UE first checks switching options configured to band pairs including the target band (i.e., {A, C}, {B, C}, and {C, D} if exists.).</w:t>
      </w:r>
    </w:p>
    <w:p w14:paraId="086DED65" w14:textId="77777777" w:rsidR="0081786F" w:rsidRPr="0081786F" w:rsidRDefault="0081786F" w:rsidP="0081786F">
      <w:pPr>
        <w:pStyle w:val="aa"/>
        <w:numPr>
          <w:ilvl w:val="0"/>
          <w:numId w:val="26"/>
        </w:numPr>
        <w:ind w:firstLineChars="0"/>
        <w:rPr>
          <w:rFonts w:ascii="Times New Roman" w:hAnsi="Times New Roman"/>
          <w:b/>
          <w:kern w:val="0"/>
          <w:sz w:val="20"/>
          <w:szCs w:val="24"/>
        </w:rPr>
      </w:pPr>
      <w:r w:rsidRPr="0081786F">
        <w:rPr>
          <w:rFonts w:ascii="Times New Roman" w:hAnsi="Times New Roman"/>
          <w:b/>
          <w:kern w:val="0"/>
          <w:sz w:val="20"/>
          <w:szCs w:val="24"/>
        </w:rPr>
        <w:t>If all band pairs are configured as switchedUL, the UE switches the remaining Tx chain to the transmitting band.</w:t>
      </w:r>
    </w:p>
    <w:p w14:paraId="4DF4A743" w14:textId="7C38F203" w:rsidR="0081786F" w:rsidRPr="00E443C4" w:rsidRDefault="0081786F" w:rsidP="0081786F">
      <w:pPr>
        <w:pStyle w:val="aa"/>
        <w:numPr>
          <w:ilvl w:val="0"/>
          <w:numId w:val="26"/>
        </w:numPr>
        <w:ind w:firstLineChars="0"/>
        <w:rPr>
          <w:rFonts w:ascii="Times New Roman" w:hAnsi="Times New Roman"/>
          <w:b/>
          <w:kern w:val="0"/>
          <w:sz w:val="20"/>
          <w:szCs w:val="24"/>
        </w:rPr>
      </w:pPr>
      <w:r w:rsidRPr="0081786F">
        <w:rPr>
          <w:rFonts w:ascii="Times New Roman" w:hAnsi="Times New Roman"/>
          <w:b/>
          <w:kern w:val="0"/>
          <w:sz w:val="20"/>
          <w:szCs w:val="24"/>
        </w:rPr>
        <w:t>Otherwise, the UE switches the remaining Tx chain to the associated band.</w:t>
      </w:r>
    </w:p>
    <w:p w14:paraId="411BF479" w14:textId="77777777" w:rsidR="00AF48F0" w:rsidRPr="00AF48F0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t>References</w:t>
      </w:r>
    </w:p>
    <w:p w14:paraId="1191C98D" w14:textId="3C116FD7" w:rsidR="00541641" w:rsidRPr="00E14384" w:rsidRDefault="00B560C9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 w:rsidRPr="00B560C9">
        <w:rPr>
          <w:rFonts w:ascii="Times New Roman" w:hAnsi="Times New Roman"/>
          <w:sz w:val="20"/>
          <w:szCs w:val="20"/>
        </w:rPr>
        <w:t>Draft_R2_121_meeting_report_v1</w:t>
      </w:r>
    </w:p>
    <w:p w14:paraId="20EDEF21" w14:textId="748C1489" w:rsidR="00541641" w:rsidRPr="00E14384" w:rsidRDefault="0076503B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76503B">
        <w:rPr>
          <w:rFonts w:ascii="Times New Roman" w:hAnsi="Times New Roman"/>
          <w:sz w:val="20"/>
          <w:szCs w:val="20"/>
        </w:rPr>
        <w:t>R2-2302730</w:t>
      </w:r>
      <w:r>
        <w:rPr>
          <w:rFonts w:ascii="Times New Roman" w:hAnsi="Times New Roman"/>
          <w:sz w:val="20"/>
          <w:szCs w:val="20"/>
        </w:rPr>
        <w:t xml:space="preserve"> </w:t>
      </w:r>
      <w:r w:rsidRPr="0076503B">
        <w:rPr>
          <w:rFonts w:ascii="Times New Roman" w:hAnsi="Times New Roman"/>
          <w:sz w:val="20"/>
          <w:szCs w:val="20"/>
        </w:rPr>
        <w:t>Summary of [Post121][045][MCE] UL TX Switching (Docomo)</w:t>
      </w:r>
    </w:p>
    <w:p w14:paraId="34323547" w14:textId="77777777" w:rsidR="00A2414B" w:rsidRPr="00A2414B" w:rsidRDefault="00A2414B" w:rsidP="00A2414B"/>
    <w:sectPr w:rsidR="00A2414B" w:rsidRPr="00A2414B" w:rsidSect="00A2414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F74CB" w14:textId="77777777" w:rsidR="001022F0" w:rsidRDefault="001022F0" w:rsidP="003E7FE5">
      <w:r>
        <w:separator/>
      </w:r>
    </w:p>
  </w:endnote>
  <w:endnote w:type="continuationSeparator" w:id="0">
    <w:p w14:paraId="55D36AE6" w14:textId="77777777" w:rsidR="001022F0" w:rsidRDefault="001022F0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IZ UDGothic">
    <w:altName w:val="Yu Gothic"/>
    <w:charset w:val="80"/>
    <w:family w:val="modern"/>
    <w:pitch w:val="fixed"/>
    <w:sig w:usb0="E00002F7" w:usb1="2AC7EDF8" w:usb2="00000012" w:usb3="00000000" w:csb0="0002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0CB60" w14:textId="77777777" w:rsidR="001022F0" w:rsidRDefault="001022F0" w:rsidP="003E7FE5">
      <w:r>
        <w:separator/>
      </w:r>
    </w:p>
  </w:footnote>
  <w:footnote w:type="continuationSeparator" w:id="0">
    <w:p w14:paraId="2795F1C1" w14:textId="77777777" w:rsidR="001022F0" w:rsidRDefault="001022F0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7250B2"/>
    <w:multiLevelType w:val="hybridMultilevel"/>
    <w:tmpl w:val="2294F67A"/>
    <w:lvl w:ilvl="0" w:tplc="F4D40616">
      <w:start w:val="1"/>
      <w:numFmt w:val="decimal"/>
      <w:lvlText w:val="Proposal %1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54949"/>
    <w:multiLevelType w:val="hybridMultilevel"/>
    <w:tmpl w:val="721E6EB8"/>
    <w:lvl w:ilvl="0" w:tplc="C6369E86">
      <w:start w:val="1"/>
      <w:numFmt w:val="bullet"/>
      <w:lvlText w:val="-"/>
      <w:lvlJc w:val="left"/>
      <w:pPr>
        <w:ind w:left="2421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9E11326"/>
    <w:multiLevelType w:val="hybridMultilevel"/>
    <w:tmpl w:val="AEBAB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9DE"/>
    <w:multiLevelType w:val="hybridMultilevel"/>
    <w:tmpl w:val="CC2C509C"/>
    <w:lvl w:ilvl="0" w:tplc="C6369E86">
      <w:start w:val="1"/>
      <w:numFmt w:val="bullet"/>
      <w:lvlText w:val="-"/>
      <w:lvlJc w:val="left"/>
      <w:pPr>
        <w:ind w:left="25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D2688E"/>
    <w:multiLevelType w:val="hybridMultilevel"/>
    <w:tmpl w:val="B99AD8E8"/>
    <w:lvl w:ilvl="0" w:tplc="3DA6740E">
      <w:numFmt w:val="bullet"/>
      <w:lvlText w:val="-"/>
      <w:lvlJc w:val="left"/>
      <w:pPr>
        <w:ind w:left="360" w:hanging="360"/>
      </w:pPr>
      <w:rPr>
        <w:rFonts w:ascii="Arial" w:eastAsia="BIZ UD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BE7E04"/>
    <w:multiLevelType w:val="hybridMultilevel"/>
    <w:tmpl w:val="DCF42A2E"/>
    <w:lvl w:ilvl="0" w:tplc="24621D6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F97F04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9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9"/>
  </w:num>
  <w:num w:numId="3">
    <w:abstractNumId w:val="15"/>
  </w:num>
  <w:num w:numId="4">
    <w:abstractNumId w:val="3"/>
  </w:num>
  <w:num w:numId="5">
    <w:abstractNumId w:val="21"/>
  </w:num>
  <w:num w:numId="6">
    <w:abstractNumId w:val="20"/>
  </w:num>
  <w:num w:numId="7">
    <w:abstractNumId w:val="13"/>
  </w:num>
  <w:num w:numId="8">
    <w:abstractNumId w:val="5"/>
  </w:num>
  <w:num w:numId="9">
    <w:abstractNumId w:val="23"/>
  </w:num>
  <w:num w:numId="10">
    <w:abstractNumId w:val="12"/>
  </w:num>
  <w:num w:numId="11">
    <w:abstractNumId w:val="18"/>
  </w:num>
  <w:num w:numId="12">
    <w:abstractNumId w:val="9"/>
  </w:num>
  <w:num w:numId="13">
    <w:abstractNumId w:val="24"/>
  </w:num>
  <w:num w:numId="14">
    <w:abstractNumId w:val="4"/>
  </w:num>
  <w:num w:numId="15">
    <w:abstractNumId w:val="16"/>
  </w:num>
  <w:num w:numId="16">
    <w:abstractNumId w:val="1"/>
  </w:num>
  <w:num w:numId="17">
    <w:abstractNumId w:val="0"/>
  </w:num>
  <w:num w:numId="18">
    <w:abstractNumId w:val="22"/>
  </w:num>
  <w:num w:numId="19">
    <w:abstractNumId w:val="11"/>
  </w:num>
  <w:num w:numId="20">
    <w:abstractNumId w:val="10"/>
  </w:num>
  <w:num w:numId="21">
    <w:abstractNumId w:val="2"/>
  </w:num>
  <w:num w:numId="22">
    <w:abstractNumId w:val="11"/>
  </w:num>
  <w:num w:numId="23">
    <w:abstractNumId w:val="7"/>
  </w:num>
  <w:num w:numId="24">
    <w:abstractNumId w:val="14"/>
  </w:num>
  <w:num w:numId="25">
    <w:abstractNumId w:val="8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34AE9"/>
    <w:rsid w:val="000444C5"/>
    <w:rsid w:val="00050EF2"/>
    <w:rsid w:val="0006132B"/>
    <w:rsid w:val="00077CB0"/>
    <w:rsid w:val="000A3A3B"/>
    <w:rsid w:val="000E758D"/>
    <w:rsid w:val="000F0640"/>
    <w:rsid w:val="001022F0"/>
    <w:rsid w:val="001121CD"/>
    <w:rsid w:val="001129D4"/>
    <w:rsid w:val="001410D9"/>
    <w:rsid w:val="001445FB"/>
    <w:rsid w:val="001448D5"/>
    <w:rsid w:val="0016785A"/>
    <w:rsid w:val="0017273B"/>
    <w:rsid w:val="0018642F"/>
    <w:rsid w:val="00194C84"/>
    <w:rsid w:val="001A25FC"/>
    <w:rsid w:val="001A2E65"/>
    <w:rsid w:val="001A5E91"/>
    <w:rsid w:val="001C576E"/>
    <w:rsid w:val="00211D99"/>
    <w:rsid w:val="00214A6C"/>
    <w:rsid w:val="002404D8"/>
    <w:rsid w:val="002541C7"/>
    <w:rsid w:val="0026661A"/>
    <w:rsid w:val="00284C62"/>
    <w:rsid w:val="002855E3"/>
    <w:rsid w:val="00292F23"/>
    <w:rsid w:val="002A5FBD"/>
    <w:rsid w:val="002A72C4"/>
    <w:rsid w:val="002B1637"/>
    <w:rsid w:val="002B351A"/>
    <w:rsid w:val="002C273C"/>
    <w:rsid w:val="002C4919"/>
    <w:rsid w:val="002E7299"/>
    <w:rsid w:val="003144E6"/>
    <w:rsid w:val="003153AB"/>
    <w:rsid w:val="00343E37"/>
    <w:rsid w:val="0038200A"/>
    <w:rsid w:val="00385BCD"/>
    <w:rsid w:val="00386243"/>
    <w:rsid w:val="00392CF2"/>
    <w:rsid w:val="00394D3B"/>
    <w:rsid w:val="003A2AEA"/>
    <w:rsid w:val="003B3B14"/>
    <w:rsid w:val="003B4E47"/>
    <w:rsid w:val="003E7FE5"/>
    <w:rsid w:val="003F5429"/>
    <w:rsid w:val="004229EB"/>
    <w:rsid w:val="00427623"/>
    <w:rsid w:val="00430DD2"/>
    <w:rsid w:val="004526A5"/>
    <w:rsid w:val="00455EF7"/>
    <w:rsid w:val="004A21A1"/>
    <w:rsid w:val="004D0653"/>
    <w:rsid w:val="004E29CA"/>
    <w:rsid w:val="004F599D"/>
    <w:rsid w:val="004F773B"/>
    <w:rsid w:val="00500EFE"/>
    <w:rsid w:val="005017F6"/>
    <w:rsid w:val="00536C5B"/>
    <w:rsid w:val="00541641"/>
    <w:rsid w:val="0055188C"/>
    <w:rsid w:val="00572C05"/>
    <w:rsid w:val="005C100D"/>
    <w:rsid w:val="00600071"/>
    <w:rsid w:val="006011D9"/>
    <w:rsid w:val="00615320"/>
    <w:rsid w:val="00624E50"/>
    <w:rsid w:val="006419F8"/>
    <w:rsid w:val="00656556"/>
    <w:rsid w:val="00670BA2"/>
    <w:rsid w:val="00675CA4"/>
    <w:rsid w:val="006776E6"/>
    <w:rsid w:val="00690A1F"/>
    <w:rsid w:val="006B0026"/>
    <w:rsid w:val="0073196B"/>
    <w:rsid w:val="00756311"/>
    <w:rsid w:val="00762D81"/>
    <w:rsid w:val="0076503B"/>
    <w:rsid w:val="00775F8A"/>
    <w:rsid w:val="007801CA"/>
    <w:rsid w:val="00780A25"/>
    <w:rsid w:val="007933C2"/>
    <w:rsid w:val="007A08C3"/>
    <w:rsid w:val="007B68E3"/>
    <w:rsid w:val="007B7403"/>
    <w:rsid w:val="007C1459"/>
    <w:rsid w:val="007C761D"/>
    <w:rsid w:val="007E197F"/>
    <w:rsid w:val="00804755"/>
    <w:rsid w:val="008158E4"/>
    <w:rsid w:val="0081786F"/>
    <w:rsid w:val="00831490"/>
    <w:rsid w:val="008A0860"/>
    <w:rsid w:val="008A52CB"/>
    <w:rsid w:val="008C3E44"/>
    <w:rsid w:val="008D6FFA"/>
    <w:rsid w:val="008E08F7"/>
    <w:rsid w:val="0091483E"/>
    <w:rsid w:val="009320AD"/>
    <w:rsid w:val="00970C8D"/>
    <w:rsid w:val="00977917"/>
    <w:rsid w:val="009A4A8D"/>
    <w:rsid w:val="009A760A"/>
    <w:rsid w:val="009B4524"/>
    <w:rsid w:val="009B7AAC"/>
    <w:rsid w:val="009C2B9D"/>
    <w:rsid w:val="009D20AB"/>
    <w:rsid w:val="00A03F0A"/>
    <w:rsid w:val="00A05584"/>
    <w:rsid w:val="00A2414B"/>
    <w:rsid w:val="00A36B0F"/>
    <w:rsid w:val="00A93A63"/>
    <w:rsid w:val="00A95FAE"/>
    <w:rsid w:val="00A9772D"/>
    <w:rsid w:val="00AD031B"/>
    <w:rsid w:val="00AF48F0"/>
    <w:rsid w:val="00AF4CE4"/>
    <w:rsid w:val="00B1430E"/>
    <w:rsid w:val="00B4348E"/>
    <w:rsid w:val="00B446DC"/>
    <w:rsid w:val="00B446F1"/>
    <w:rsid w:val="00B560C9"/>
    <w:rsid w:val="00B7789A"/>
    <w:rsid w:val="00B868C1"/>
    <w:rsid w:val="00BA57C4"/>
    <w:rsid w:val="00BA70E1"/>
    <w:rsid w:val="00BF39AE"/>
    <w:rsid w:val="00BF43BA"/>
    <w:rsid w:val="00C052EE"/>
    <w:rsid w:val="00C06DD9"/>
    <w:rsid w:val="00C3692E"/>
    <w:rsid w:val="00C5244F"/>
    <w:rsid w:val="00C57EB4"/>
    <w:rsid w:val="00C7419D"/>
    <w:rsid w:val="00CD02FB"/>
    <w:rsid w:val="00D0686A"/>
    <w:rsid w:val="00D114AE"/>
    <w:rsid w:val="00D26E68"/>
    <w:rsid w:val="00D62CF7"/>
    <w:rsid w:val="00D801CB"/>
    <w:rsid w:val="00D8388D"/>
    <w:rsid w:val="00D97559"/>
    <w:rsid w:val="00DA6D01"/>
    <w:rsid w:val="00DC71A7"/>
    <w:rsid w:val="00DE742A"/>
    <w:rsid w:val="00DF7126"/>
    <w:rsid w:val="00E14384"/>
    <w:rsid w:val="00E165F2"/>
    <w:rsid w:val="00E16EEA"/>
    <w:rsid w:val="00E3582D"/>
    <w:rsid w:val="00E443C4"/>
    <w:rsid w:val="00E80EC1"/>
    <w:rsid w:val="00E839F7"/>
    <w:rsid w:val="00E871C0"/>
    <w:rsid w:val="00E87241"/>
    <w:rsid w:val="00E95E8A"/>
    <w:rsid w:val="00EB2590"/>
    <w:rsid w:val="00EB4EF2"/>
    <w:rsid w:val="00EB7B1E"/>
    <w:rsid w:val="00EF37B8"/>
    <w:rsid w:val="00F20B0A"/>
    <w:rsid w:val="00F46F52"/>
    <w:rsid w:val="00F66CFB"/>
    <w:rsid w:val="00F8561D"/>
    <w:rsid w:val="00FA2A01"/>
    <w:rsid w:val="00FC2B46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,列表段,P,R4_bullets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B560C9"/>
    <w:pPr>
      <w:widowControl/>
      <w:numPr>
        <w:numId w:val="1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jc w:val="left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customStyle="1" w:styleId="ProposalandObservation">
    <w:name w:val="Proposal and Observation"/>
    <w:basedOn w:val="a"/>
    <w:link w:val="ProposalandObservation0"/>
    <w:qFormat/>
    <w:rsid w:val="002A72C4"/>
    <w:pPr>
      <w:widowControl/>
      <w:spacing w:after="180"/>
      <w:ind w:left="1287" w:hangingChars="585" w:hanging="1287"/>
      <w:jc w:val="left"/>
    </w:pPr>
    <w:rPr>
      <w:rFonts w:ascii="Arial" w:eastAsia="BIZ UDGothic" w:hAnsi="Arial" w:cs="Arial"/>
      <w:b/>
      <w:bCs/>
      <w:kern w:val="0"/>
      <w:sz w:val="22"/>
      <w:szCs w:val="22"/>
      <w:lang w:val="en-GB" w:eastAsia="ja-JP"/>
    </w:rPr>
  </w:style>
  <w:style w:type="character" w:customStyle="1" w:styleId="ProposalandObservation0">
    <w:name w:val="Proposal and Observation (文字)"/>
    <w:basedOn w:val="a0"/>
    <w:link w:val="ProposalandObservation"/>
    <w:rsid w:val="002A72C4"/>
    <w:rPr>
      <w:rFonts w:ascii="Arial" w:eastAsia="BIZ UDGothic" w:hAnsi="Arial" w:cs="Arial"/>
      <w:b/>
      <w:bCs/>
      <w:kern w:val="0"/>
      <w:sz w:val="22"/>
      <w:szCs w:val="22"/>
      <w:lang w:val="en-GB" w:eastAsia="ja-JP"/>
    </w:rPr>
  </w:style>
  <w:style w:type="paragraph" w:styleId="af3">
    <w:name w:val="Revision"/>
    <w:hidden/>
    <w:uiPriority w:val="99"/>
    <w:semiHidden/>
    <w:rsid w:val="00186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1372</Words>
  <Characters>7825</Characters>
  <Application>Microsoft Office Word</Application>
  <DocSecurity>0</DocSecurity>
  <Lines>65</Lines>
  <Paragraphs>18</Paragraphs>
  <ScaleCrop>false</ScaleCrop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vivo(Jianhui)</cp:lastModifiedBy>
  <cp:revision>2</cp:revision>
  <dcterms:created xsi:type="dcterms:W3CDTF">2023-04-07T08:30:00Z</dcterms:created>
  <dcterms:modified xsi:type="dcterms:W3CDTF">2023-04-07T08:30:00Z</dcterms:modified>
</cp:coreProperties>
</file>